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9"/>
        <w:rPr>
          <w:b w:val="0"/>
          <w:sz w:val="26"/>
          <w:szCs w:val="26"/>
          <w:lang w:val="ru-RU"/>
        </w:rPr>
      </w:pPr>
      <w:r>
        <w:rPr>
          <w:b w:val="0"/>
          <w:sz w:val="26"/>
          <w:szCs w:val="26"/>
          <w:lang w:val="ru-RU"/>
        </w:rPr>
      </w:r>
      <w:r>
        <w:rPr>
          <w:b w:val="0"/>
          <w:sz w:val="26"/>
          <w:szCs w:val="26"/>
          <w:lang w:val="ru-RU"/>
        </w:rPr>
      </w:r>
      <w:r>
        <w:rPr>
          <w:b w:val="0"/>
          <w:sz w:val="26"/>
          <w:szCs w:val="26"/>
          <w:lang w:val="ru-RU"/>
        </w:rPr>
      </w:r>
    </w:p>
    <w:p>
      <w:pPr>
        <w:pStyle w:val="859"/>
        <w:rPr>
          <w:b w:val="0"/>
          <w:bCs w:val="0"/>
          <w:color w:val="000000"/>
          <w:sz w:val="26"/>
          <w:szCs w:val="26"/>
        </w:rPr>
      </w:pPr>
      <w:r>
        <w:rPr>
          <w:b w:val="0"/>
          <w:sz w:val="26"/>
          <w:szCs w:val="26"/>
          <w:lang w:val="ru-RU"/>
        </w:rPr>
        <w:t xml:space="preserve">Расчет </w:t>
      </w:r>
      <w:r>
        <w:rPr>
          <w:b w:val="0"/>
          <w:sz w:val="26"/>
          <w:szCs w:val="26"/>
          <w:lang w:val="ru-RU"/>
        </w:rPr>
        <w:t xml:space="preserve">распределения </w:t>
      </w:r>
      <w:r>
        <w:rPr>
          <w:b w:val="0"/>
          <w:sz w:val="26"/>
          <w:szCs w:val="26"/>
          <w:lang w:val="ru-RU"/>
        </w:rPr>
        <w:t xml:space="preserve">с</w:t>
      </w:r>
      <w:r>
        <w:rPr>
          <w:b w:val="0"/>
          <w:color w:val="000000"/>
          <w:sz w:val="26"/>
          <w:szCs w:val="26"/>
        </w:rPr>
        <w:t xml:space="preserve">убсидии</w:t>
      </w:r>
      <w:r>
        <w:rPr>
          <w:b w:val="0"/>
          <w:color w:val="000000"/>
          <w:sz w:val="26"/>
          <w:szCs w:val="26"/>
        </w:rPr>
        <w:t xml:space="preserve"> бюджетам муниципальных образований на осуществление дорожной деятельности</w:t>
      </w:r>
      <w:r>
        <w:rPr>
          <w:b w:val="0"/>
          <w:color w:val="000000"/>
          <w:sz w:val="26"/>
          <w:szCs w:val="26"/>
        </w:rPr>
        <w:t xml:space="preserve"> </w:t>
      </w:r>
      <w:r>
        <w:rPr>
          <w:b w:val="0"/>
          <w:sz w:val="26"/>
          <w:szCs w:val="26"/>
          <w:lang w:val="ru-RU"/>
        </w:rPr>
      </w:r>
      <w:r>
        <w:rPr>
          <w:b w:val="0"/>
          <w:bCs w:val="0"/>
          <w:color w:val="000000"/>
          <w:sz w:val="26"/>
          <w:szCs w:val="26"/>
        </w:rPr>
      </w:r>
    </w:p>
    <w:p>
      <w:pPr>
        <w:pStyle w:val="859"/>
        <w:rPr>
          <w:b w:val="0"/>
          <w:bCs w:val="0"/>
          <w:sz w:val="26"/>
          <w:szCs w:val="26"/>
          <w:lang w:val="ru-RU"/>
        </w:rPr>
      </w:pPr>
      <w:r>
        <w:rPr>
          <w:b w:val="0"/>
          <w:color w:val="000000"/>
          <w:sz w:val="26"/>
          <w:szCs w:val="26"/>
        </w:rPr>
        <w:t xml:space="preserve">(таблица 9 приложение14)</w:t>
      </w:r>
      <w:r>
        <w:rPr>
          <w:b w:val="0"/>
          <w:sz w:val="26"/>
          <w:szCs w:val="26"/>
          <w:lang w:val="ru-RU"/>
        </w:rPr>
      </w:r>
      <w:r>
        <w:rPr>
          <w:b w:val="0"/>
          <w:bCs w:val="0"/>
          <w:sz w:val="26"/>
          <w:szCs w:val="26"/>
          <w:lang w:val="ru-RU"/>
        </w:rPr>
      </w:r>
    </w:p>
    <w:p>
      <w:pPr>
        <w:pStyle w:val="854"/>
        <w:jc w:val="center"/>
        <w:rPr>
          <w:sz w:val="26"/>
          <w:szCs w:val="26"/>
        </w:r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4894" w:type="dxa"/>
        <w:tblInd w:w="9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405"/>
        <w:gridCol w:w="8646"/>
        <w:gridCol w:w="1843"/>
      </w:tblGrid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Код БК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Главный распорядитель средств областного бюджета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Министерство строительства, жилищно-коммунального</w:t>
            </w:r>
            <w:r>
              <w:rPr>
                <w:color w:val="000000"/>
                <w:sz w:val="26"/>
                <w:szCs w:val="26"/>
              </w:rPr>
              <w:t xml:space="preserve">,</w:t>
            </w:r>
            <w:r>
              <w:rPr>
                <w:color w:val="000000"/>
                <w:sz w:val="26"/>
                <w:szCs w:val="26"/>
              </w:rPr>
              <w:t xml:space="preserve"> дорожного хозяйства </w:t>
            </w:r>
            <w:r>
              <w:rPr>
                <w:color w:val="000000"/>
                <w:sz w:val="26"/>
                <w:szCs w:val="26"/>
              </w:rPr>
              <w:t xml:space="preserve">и транспорта </w:t>
            </w:r>
            <w:r>
              <w:rPr>
                <w:color w:val="000000"/>
                <w:sz w:val="26"/>
                <w:szCs w:val="26"/>
              </w:rPr>
              <w:t xml:space="preserve">Оренбургской области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851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253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Раздел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Национальная экономика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04 00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1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Подраздел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Дорожное хозяйство (дорожные фонды)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04 09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93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Государственная программа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«Развитие транспортной системы Оренбургской области»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17 0 00 00000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472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Тип структурного элемента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  <w:t xml:space="preserve">Комплексы процессных мероприятий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</w:t>
            </w:r>
            <w:r>
              <w:rPr>
                <w:color w:val="000000"/>
                <w:sz w:val="26"/>
                <w:szCs w:val="26"/>
              </w:rPr>
              <w:t xml:space="preserve"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00</w:t>
            </w:r>
            <w:r>
              <w:rPr>
                <w:color w:val="000000"/>
                <w:sz w:val="26"/>
                <w:szCs w:val="26"/>
              </w:rPr>
              <w:t xml:space="preserve"> 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472"/>
        </w:trPr>
        <w:tc>
          <w:tcPr>
            <w:tcW w:w="4405" w:type="dxa"/>
            <w:vAlign w:val="center"/>
            <w:vMerge w:val="restart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Структурный элемент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«Развитие сети автомобильных дорог регионального, межмуниципального и местного значения»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</w:t>
            </w:r>
            <w:r>
              <w:rPr>
                <w:color w:val="000000"/>
                <w:sz w:val="26"/>
                <w:szCs w:val="26"/>
              </w:rPr>
              <w:t xml:space="preserve"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0</w:t>
            </w:r>
            <w:r>
              <w:rPr>
                <w:color w:val="000000"/>
                <w:sz w:val="26"/>
                <w:szCs w:val="26"/>
              </w:rPr>
              <w:t xml:space="preserve"> 100000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межбюджетного трансферта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Субсидии </w:t>
            </w:r>
            <w:r>
              <w:rPr>
                <w:color w:val="000000"/>
                <w:sz w:val="26"/>
                <w:szCs w:val="26"/>
              </w:rPr>
              <w:t xml:space="preserve">бюджетам муниципальных образований </w:t>
            </w:r>
            <w:r>
              <w:rPr>
                <w:color w:val="000000"/>
                <w:sz w:val="26"/>
                <w:szCs w:val="26"/>
              </w:rPr>
              <w:t xml:space="preserve">на осуществление дорожной деятельности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17 </w:t>
            </w: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9Д850</w:t>
            </w:r>
            <w:r>
              <w:rPr>
                <w:color w:val="000000"/>
                <w:sz w:val="26"/>
                <w:szCs w:val="26"/>
                <w:lang w:val="en-US"/>
              </w:rPr>
            </w:r>
            <w:r>
              <w:rPr>
                <w:color w:val="000000"/>
                <w:sz w:val="26"/>
                <w:szCs w:val="26"/>
                <w:lang w:val="en-US"/>
              </w:rPr>
            </w:r>
          </w:p>
        </w:tc>
      </w:tr>
      <w:tr>
        <w:tblPrEx/>
        <w:trPr>
          <w:trHeight w:val="303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Вид расходов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Субсидии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5</w:t>
            </w:r>
            <w:r>
              <w:rPr>
                <w:color w:val="000000"/>
                <w:sz w:val="26"/>
                <w:szCs w:val="26"/>
              </w:rPr>
              <w:t xml:space="preserve">2</w:t>
            </w:r>
            <w:r>
              <w:rPr>
                <w:color w:val="000000"/>
                <w:sz w:val="26"/>
                <w:szCs w:val="26"/>
              </w:rPr>
              <w:t xml:space="preserve">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Документ, утверждающий методику распределения межбюджетного трансферта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</w:t>
            </w:r>
            <w:r>
              <w:rPr>
                <w:color w:val="000000"/>
                <w:sz w:val="26"/>
                <w:szCs w:val="26"/>
              </w:rPr>
              <w:t xml:space="preserve">остановлени</w:t>
            </w:r>
            <w:r>
              <w:rPr>
                <w:color w:val="000000"/>
                <w:sz w:val="26"/>
                <w:szCs w:val="26"/>
              </w:rPr>
              <w:t xml:space="preserve">е</w:t>
            </w:r>
            <w:r>
              <w:rPr>
                <w:color w:val="000000"/>
                <w:sz w:val="26"/>
                <w:szCs w:val="26"/>
              </w:rPr>
              <w:t xml:space="preserve"> Правительства Оренбургской области «Об утверждении государственной программы </w:t>
            </w:r>
            <w:r>
              <w:rPr>
                <w:sz w:val="26"/>
                <w:szCs w:val="26"/>
              </w:rPr>
              <w:t xml:space="preserve">«Развитие транспортной системы Оренбургской области»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от 29.12.2018 № 916-пп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05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Единица измерения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тыс. рублей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</w:tbl>
    <w:p>
      <w:pPr>
        <w:pStyle w:val="85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854"/>
        <w:jc w:val="center"/>
        <w:rPr>
          <w:sz w:val="26"/>
          <w:szCs w:val="26"/>
          <w:highlight w:val="none"/>
        </w:rPr>
      </w:pPr>
      <w:r>
        <w:rPr>
          <w:bCs/>
          <w:sz w:val="26"/>
          <w:szCs w:val="26"/>
        </w:rPr>
        <w:t xml:space="preserve">Распределение </w:t>
      </w:r>
      <w:r>
        <w:rPr>
          <w:b w:val="0"/>
          <w:sz w:val="26"/>
          <w:szCs w:val="26"/>
          <w:lang w:val="ru-RU"/>
        </w:rPr>
        <w:t xml:space="preserve">с</w:t>
      </w:r>
      <w:r>
        <w:rPr>
          <w:b w:val="0"/>
          <w:color w:val="000000"/>
          <w:sz w:val="26"/>
          <w:szCs w:val="26"/>
        </w:rPr>
        <w:t xml:space="preserve">убсидии</w:t>
      </w:r>
      <w:r>
        <w:rPr>
          <w:b w:val="0"/>
          <w:color w:val="000000"/>
          <w:sz w:val="26"/>
          <w:szCs w:val="26"/>
        </w:rPr>
        <w:t xml:space="preserve"> бюджетам муниципальных образований на осуществление дорожной деятельности</w:t>
      </w:r>
      <w:r>
        <w:rPr>
          <w:b w:val="0"/>
          <w:color w:val="000000"/>
          <w:sz w:val="26"/>
          <w:szCs w:val="26"/>
        </w:rPr>
        <w:t xml:space="preserve"> </w:t>
      </w:r>
      <w:r>
        <w:rPr>
          <w:bCs/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jc w:val="center"/>
        <w:rPr>
          <w:sz w:val="26"/>
          <w:szCs w:val="26"/>
        </w:rPr>
      </w:pPr>
      <w:r>
        <w:rPr>
          <w:bCs/>
          <w:sz w:val="26"/>
          <w:szCs w:val="26"/>
          <w:highlight w:val="none"/>
        </w:rPr>
      </w:r>
      <w:r>
        <w:rPr>
          <w:bCs/>
          <w:sz w:val="26"/>
          <w:szCs w:val="26"/>
          <w:highlight w:val="none"/>
        </w:rPr>
      </w:r>
    </w:p>
    <w:tbl>
      <w:tblPr>
        <w:tblW w:w="152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11"/>
        <w:gridCol w:w="2898"/>
        <w:gridCol w:w="2693"/>
        <w:gridCol w:w="2693"/>
        <w:gridCol w:w="2693"/>
        <w:gridCol w:w="1984"/>
        <w:gridCol w:w="1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1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1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89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Наименование муниципальных образований*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</w:t>
            </w:r>
            <w:r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1" w:type="dxa"/>
            <w:vAlign w:val="top"/>
            <w:vMerge w:val="continue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898" w:type="dxa"/>
            <w:vAlign w:val="top"/>
            <w:vMerge w:val="continue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бюджетных ассигнований, планируемый в областном бюджете, ОРСдор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Сметная стоимость работ по проведению мероприятий по осуществлению дорожной деятельности,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Сац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Предельный уровень софинансирования расходного обязательства муниципального образования за счет средств областного бюджета,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Уац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Заявленная потребность одного муниципального образования, Пдорi</w:t>
            </w:r>
            <w:r>
              <w:rPr>
                <w:sz w:val="24"/>
                <w:szCs w:val="24"/>
              </w:rPr>
              <w:t xml:space="preserve"> (гр.4*гр.5)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субсидии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((гр.3/итого гр6))*гр6)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9"/>
          <w:footnotePr/>
          <w:endnotePr/>
          <w:type w:val="nextPage"/>
          <w:pgSz w:w="16838" w:h="11906" w:orient="landscape"/>
          <w:pgMar w:top="238" w:right="1134" w:bottom="680" w:left="1134" w:header="709" w:footer="709" w:gutter="0"/>
          <w:cols w:num="1" w:sep="0" w:space="708" w:equalWidth="1"/>
          <w:docGrid w:linePitch="360"/>
          <w:titlePg/>
        </w:sectPr>
      </w:pPr>
      <w:r/>
      <w:r/>
    </w:p>
    <w:tbl>
      <w:tblPr>
        <w:tblW w:w="152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11"/>
        <w:gridCol w:w="2898"/>
        <w:gridCol w:w="2693"/>
        <w:gridCol w:w="2693"/>
        <w:gridCol w:w="2693"/>
        <w:gridCol w:w="1984"/>
        <w:gridCol w:w="1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611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98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11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98" w:type="dxa"/>
            <w:vAlign w:val="top"/>
            <w:textDirection w:val="lrTb"/>
            <w:noWrap w:val="false"/>
          </w:tcPr>
          <w:p>
            <w:pPr>
              <w:pStyle w:val="8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</w:t>
            </w:r>
            <w:r>
              <w:rPr>
                <w:sz w:val="26"/>
                <w:szCs w:val="26"/>
              </w:rPr>
              <w:t xml:space="preserve"> Новотроицк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84 210,6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11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98" w:type="dxa"/>
            <w:vAlign w:val="top"/>
            <w:textDirection w:val="lrTb"/>
            <w:noWrap w:val="false"/>
          </w:tcPr>
          <w:p>
            <w:pPr>
              <w:pStyle w:val="8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Кувандыкский муниципальный округ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40 404,1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611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98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Бузулукский муниципальный район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11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898" w:type="dxa"/>
            <w:vAlign w:val="top"/>
            <w:textDirection w:val="lrTb"/>
            <w:noWrap w:val="false"/>
          </w:tcPr>
          <w:p>
            <w:pPr>
              <w:pStyle w:val="8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Колтубановский поссовет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66 666,7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66 000,0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66 000,0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8"/>
        </w:trPr>
        <w:tc>
          <w:tcPr>
            <w:gridSpan w:val="2"/>
            <w:tcW w:w="3509" w:type="dxa"/>
            <w:vAlign w:val="top"/>
            <w:textDirection w:val="lrTb"/>
            <w:noWrap w:val="false"/>
          </w:tcPr>
          <w:p>
            <w:pPr>
              <w:pStyle w:val="8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Итого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186 000,0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191 281,4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186</w:t>
            </w:r>
            <w:r>
              <w:rPr>
                <w:sz w:val="26"/>
                <w:szCs w:val="26"/>
              </w:rPr>
              <w:t xml:space="preserve"> 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667" w:type="dxa"/>
            <w:vAlign w:val="top"/>
            <w:textDirection w:val="lrTb"/>
            <w:noWrap w:val="false"/>
          </w:tcPr>
          <w:p>
            <w:pPr>
              <w:pStyle w:val="8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186 000</w:t>
            </w:r>
            <w:r>
              <w:rPr>
                <w:sz w:val="26"/>
                <w:szCs w:val="26"/>
              </w:rPr>
              <w:t xml:space="preserve">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7"/>
            <w:tcW w:w="15239" w:type="dxa"/>
            <w:vAlign w:val="top"/>
            <w:vMerge w:val="restart"/>
            <w:textDirection w:val="lrTb"/>
            <w:noWrap w:val="false"/>
          </w:tcPr>
          <w:p>
            <w:pPr>
              <w:pStyle w:val="8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eastAsia="Calibri"/>
                <w:bCs/>
                <w:color w:val="26282f"/>
                <w:sz w:val="26"/>
                <w:szCs w:val="26"/>
                <w:lang w:eastAsia="en-US"/>
              </w:rPr>
              <w:t xml:space="preserve">*Наименования муниципальных образований Оренбургской области используются в соответствии с Общероссийским классификатором территорий муниципальных образований ОК –ОКТМО ОК 033-2013.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r/>
      <w:r/>
    </w:p>
    <w:sectPr>
      <w:footnotePr/>
      <w:endnotePr/>
      <w:type w:val="continuous"/>
      <w:pgSz w:w="16838" w:h="11906" w:orient="landscape"/>
      <w:pgMar w:top="238" w:right="1134" w:bottom="680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jc w:val="center"/>
    </w:pPr>
    <w:r/>
    <w:r/>
  </w:p>
  <w:p>
    <w:pPr>
      <w:pStyle w:val="8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link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link w:val="708"/>
    <w:uiPriority w:val="35"/>
    <w:rPr>
      <w:b/>
      <w:bCs/>
      <w:color w:val="4f81bd" w:themeColor="accent1"/>
      <w:sz w:val="18"/>
      <w:szCs w:val="18"/>
    </w:rPr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855">
    <w:name w:val="Заголовок 1"/>
    <w:basedOn w:val="854"/>
    <w:next w:val="854"/>
    <w:link w:val="866"/>
    <w:qFormat/>
    <w:pPr>
      <w:keepNext/>
      <w:outlineLvl w:val="0"/>
    </w:pPr>
    <w:rPr>
      <w:b/>
      <w:color w:val="000000"/>
      <w:sz w:val="28"/>
      <w:szCs w:val="20"/>
      <w:lang w:val="en-US"/>
    </w:rPr>
  </w:style>
  <w:style w:type="character" w:styleId="856">
    <w:name w:val="Основной шрифт абзаца"/>
    <w:next w:val="856"/>
    <w:link w:val="854"/>
    <w:uiPriority w:val="1"/>
    <w:semiHidden/>
    <w:unhideWhenUsed/>
  </w:style>
  <w:style w:type="table" w:styleId="857">
    <w:name w:val="Обычная таблица"/>
    <w:next w:val="857"/>
    <w:link w:val="854"/>
    <w:uiPriority w:val="99"/>
    <w:semiHidden/>
    <w:unhideWhenUsed/>
    <w:qFormat/>
    <w:tblPr/>
  </w:style>
  <w:style w:type="numbering" w:styleId="858">
    <w:name w:val="Нет списка"/>
    <w:next w:val="858"/>
    <w:link w:val="854"/>
    <w:uiPriority w:val="99"/>
    <w:semiHidden/>
    <w:unhideWhenUsed/>
  </w:style>
  <w:style w:type="paragraph" w:styleId="859">
    <w:name w:val="Основной текст"/>
    <w:basedOn w:val="854"/>
    <w:next w:val="859"/>
    <w:link w:val="860"/>
    <w:pPr>
      <w:jc w:val="center"/>
    </w:pPr>
    <w:rPr>
      <w:b/>
      <w:sz w:val="28"/>
      <w:szCs w:val="20"/>
      <w:lang w:val="en-US"/>
    </w:rPr>
  </w:style>
  <w:style w:type="character" w:styleId="860">
    <w:name w:val="Основной текст Знак"/>
    <w:next w:val="860"/>
    <w:link w:val="85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61">
    <w:name w:val="Основной текст с отступом"/>
    <w:basedOn w:val="854"/>
    <w:next w:val="861"/>
    <w:link w:val="862"/>
    <w:uiPriority w:val="99"/>
    <w:pPr>
      <w:ind w:left="5103"/>
      <w:jc w:val="right"/>
    </w:pPr>
    <w:rPr>
      <w:sz w:val="28"/>
      <w:szCs w:val="20"/>
      <w:lang w:val="en-US"/>
    </w:rPr>
  </w:style>
  <w:style w:type="character" w:styleId="862">
    <w:name w:val="Основной текст с отступом Знак"/>
    <w:next w:val="862"/>
    <w:link w:val="861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863">
    <w:name w:val="Сетка таблицы"/>
    <w:basedOn w:val="857"/>
    <w:next w:val="863"/>
    <w:link w:val="85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864">
    <w:name w:val="Без интервала"/>
    <w:next w:val="864"/>
    <w:link w:val="854"/>
    <w:uiPriority w:val="1"/>
    <w:qFormat/>
    <w:pPr>
      <w:ind w:firstLine="720"/>
      <w:jc w:val="both"/>
      <w:widowControl w:val="off"/>
    </w:pPr>
    <w:rPr>
      <w:rFonts w:ascii="Times New Roman" w:hAnsi="Times New Roman" w:eastAsia="Times New Roman"/>
      <w:sz w:val="28"/>
      <w:lang w:val="ru-RU" w:eastAsia="ru-RU" w:bidi="ar-SA"/>
    </w:rPr>
  </w:style>
  <w:style w:type="paragraph" w:styleId="865">
    <w:name w:val="ConsPlusNormal"/>
    <w:next w:val="865"/>
    <w:link w:val="854"/>
    <w:pPr>
      <w:widowControl w:val="off"/>
    </w:pPr>
    <w:rPr>
      <w:rFonts w:eastAsia="Times New Roman" w:cs="Calibri"/>
      <w:sz w:val="22"/>
      <w:lang w:val="ru-RU" w:eastAsia="ru-RU" w:bidi="ar-SA"/>
    </w:rPr>
  </w:style>
  <w:style w:type="character" w:styleId="866">
    <w:name w:val="Заголовок 1 Знак"/>
    <w:next w:val="866"/>
    <w:link w:val="855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paragraph" w:styleId="867">
    <w:name w:val="Верхний колонтитул"/>
    <w:basedOn w:val="854"/>
    <w:next w:val="867"/>
    <w:link w:val="868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68">
    <w:name w:val="Верхний колонтитул Знак"/>
    <w:next w:val="868"/>
    <w:link w:val="86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9">
    <w:name w:val="Номер страницы"/>
    <w:basedOn w:val="856"/>
    <w:next w:val="869"/>
    <w:link w:val="854"/>
  </w:style>
  <w:style w:type="paragraph" w:styleId="870">
    <w:name w:val="Текст выноски"/>
    <w:basedOn w:val="854"/>
    <w:next w:val="870"/>
    <w:link w:val="871"/>
    <w:semiHidden/>
    <w:rPr>
      <w:rFonts w:ascii="Tahoma" w:hAnsi="Tahoma"/>
      <w:sz w:val="16"/>
      <w:szCs w:val="16"/>
      <w:lang w:val="en-US"/>
    </w:rPr>
  </w:style>
  <w:style w:type="character" w:styleId="871">
    <w:name w:val="Текст выноски Знак"/>
    <w:next w:val="871"/>
    <w:link w:val="870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2">
    <w:name w:val="Приветствие"/>
    <w:basedOn w:val="854"/>
    <w:next w:val="854"/>
    <w:link w:val="873"/>
    <w:pPr>
      <w:ind w:firstLine="720"/>
      <w:jc w:val="both"/>
      <w:spacing w:before="120"/>
    </w:pPr>
    <w:rPr>
      <w:sz w:val="28"/>
      <w:szCs w:val="20"/>
      <w:lang w:val="en-US"/>
    </w:rPr>
  </w:style>
  <w:style w:type="character" w:styleId="873">
    <w:name w:val="Приветствие Знак"/>
    <w:next w:val="873"/>
    <w:link w:val="87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74">
    <w:name w:val="Обычный (веб)"/>
    <w:basedOn w:val="854"/>
    <w:next w:val="874"/>
    <w:link w:val="854"/>
    <w:pPr>
      <w:spacing w:before="100" w:beforeAutospacing="1" w:after="119"/>
    </w:pPr>
  </w:style>
  <w:style w:type="character" w:styleId="875">
    <w:name w:val="Знак Знак1"/>
    <w:next w:val="875"/>
    <w:link w:val="854"/>
    <w:rPr>
      <w:sz w:val="28"/>
    </w:rPr>
  </w:style>
  <w:style w:type="paragraph" w:styleId="876">
    <w:name w:val="Без интервала1"/>
    <w:next w:val="876"/>
    <w:link w:val="854"/>
    <w:pPr>
      <w:ind w:firstLine="720"/>
      <w:jc w:val="both"/>
      <w:widowControl w:val="off"/>
    </w:pPr>
    <w:rPr>
      <w:rFonts w:ascii="Times New Roman" w:hAnsi="Times New Roman"/>
      <w:sz w:val="28"/>
      <w:lang w:val="ru-RU" w:eastAsia="ru-RU" w:bidi="ar-SA"/>
    </w:rPr>
  </w:style>
  <w:style w:type="paragraph" w:styleId="877">
    <w:name w:val="Нижний колонтитул"/>
    <w:basedOn w:val="854"/>
    <w:next w:val="877"/>
    <w:link w:val="878"/>
    <w:uiPriority w:val="99"/>
    <w:pPr>
      <w:tabs>
        <w:tab w:val="center" w:pos="4677" w:leader="none"/>
        <w:tab w:val="right" w:pos="9355" w:leader="none"/>
      </w:tabs>
    </w:pPr>
    <w:rPr>
      <w:sz w:val="20"/>
      <w:szCs w:val="20"/>
      <w:lang w:val="en-US"/>
    </w:rPr>
  </w:style>
  <w:style w:type="character" w:styleId="878">
    <w:name w:val="Нижний колонтитул Знак"/>
    <w:next w:val="878"/>
    <w:link w:val="87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79">
    <w:name w:val="Цветовое выделение"/>
    <w:next w:val="879"/>
    <w:link w:val="854"/>
    <w:uiPriority w:val="99"/>
    <w:rPr>
      <w:b/>
      <w:bCs/>
      <w:color w:val="26282f"/>
    </w:rPr>
  </w:style>
  <w:style w:type="character" w:styleId="880">
    <w:name w:val="Гипертекстовая ссылка"/>
    <w:next w:val="880"/>
    <w:link w:val="854"/>
    <w:uiPriority w:val="99"/>
    <w:rPr>
      <w:b/>
      <w:bCs/>
      <w:color w:val="106bbe"/>
    </w:rPr>
  </w:style>
  <w:style w:type="paragraph" w:styleId="881">
    <w:name w:val="Нормальный (таблица)"/>
    <w:basedOn w:val="854"/>
    <w:next w:val="854"/>
    <w:link w:val="854"/>
    <w:uiPriority w:val="99"/>
    <w:pPr>
      <w:jc w:val="both"/>
      <w:widowControl w:val="off"/>
    </w:pPr>
    <w:rPr>
      <w:rFonts w:ascii="Arial" w:hAnsi="Arial" w:cs="Arial"/>
    </w:rPr>
  </w:style>
  <w:style w:type="paragraph" w:styleId="882">
    <w:name w:val="Прижатый влево"/>
    <w:basedOn w:val="854"/>
    <w:next w:val="854"/>
    <w:link w:val="854"/>
    <w:uiPriority w:val="99"/>
    <w:pPr>
      <w:widowControl w:val="off"/>
    </w:pPr>
    <w:rPr>
      <w:rFonts w:ascii="Arial" w:hAnsi="Arial" w:cs="Arial"/>
    </w:rPr>
  </w:style>
  <w:style w:type="paragraph" w:styleId="883">
    <w:name w:val="Абзац списка"/>
    <w:basedOn w:val="854"/>
    <w:next w:val="883"/>
    <w:link w:val="854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dvf</cp:lastModifiedBy>
  <cp:revision>27</cp:revision>
  <dcterms:created xsi:type="dcterms:W3CDTF">2021-10-22T11:16:00Z</dcterms:created>
  <dcterms:modified xsi:type="dcterms:W3CDTF">2025-10-31T08:33:03Z</dcterms:modified>
  <cp:version>1048576</cp:version>
</cp:coreProperties>
</file>